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8E93" w14:textId="77777777" w:rsidR="00FC763A" w:rsidRPr="00FC763A" w:rsidRDefault="00FC763A" w:rsidP="00FC763A">
      <w:pPr>
        <w:shd w:val="clear" w:color="auto" w:fill="FFFFFF"/>
        <w:spacing w:after="0" w:line="240" w:lineRule="auto"/>
        <w:textAlignment w:val="top"/>
        <w:outlineLvl w:val="0"/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</w:pPr>
      <w:r w:rsidRPr="00FC763A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>Un cuivre à 20.000 $/t en cas d’insuffisance d’offre en déchets ?</w:t>
      </w:r>
    </w:p>
    <w:p w14:paraId="20C07E70" w14:textId="77777777" w:rsidR="00FC763A" w:rsidRPr="00FC763A" w:rsidRDefault="00FC763A" w:rsidP="00FC763A">
      <w:pPr>
        <w:shd w:val="clear" w:color="auto" w:fill="FFFFFF"/>
        <w:spacing w:before="150" w:after="150" w:line="240" w:lineRule="auto"/>
        <w:textAlignment w:val="top"/>
        <w:outlineLvl w:val="1"/>
        <w:rPr>
          <w:rFonts w:ascii="Verdana" w:eastAsia="Times New Roman" w:hAnsi="Verdana" w:cs="Times New Roman"/>
          <w:color w:val="3E001F"/>
          <w:sz w:val="30"/>
          <w:szCs w:val="30"/>
          <w:lang w:eastAsia="fr-BE"/>
        </w:rPr>
      </w:pPr>
      <w:r w:rsidRPr="00FC763A">
        <w:rPr>
          <w:rFonts w:ascii="Verdana" w:eastAsia="Times New Roman" w:hAnsi="Verdana" w:cs="Times New Roman"/>
          <w:color w:val="3E001F"/>
          <w:sz w:val="30"/>
          <w:szCs w:val="30"/>
          <w:lang w:eastAsia="fr-BE"/>
        </w:rPr>
        <w:t>Projections de Bank of America</w:t>
      </w:r>
    </w:p>
    <w:p w14:paraId="4679AC2D" w14:textId="77777777" w:rsid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</w:pPr>
    </w:p>
    <w:p w14:paraId="2CA4A80F" w14:textId="22A8F2DC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La pénurie de cuivre et la baisse des stocks devraient propulser le cours du cuivre bien au-delà du sommet établi lundi 10 mai - sauf si l’offre en déchets de cuivre venait à augmenter de manière significative.</w:t>
      </w:r>
    </w:p>
    <w:p w14:paraId="43D01347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</w:t>
      </w:r>
    </w:p>
    <w:p w14:paraId="20805DBE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Le cours du métal rouge a atteint 10.747,50 $/t lundi 10 mai, dépassant son précédent record de février 2011 de 10.190 $/t. Le métal est en hausse de 37% depuis le début de l’année.</w:t>
      </w:r>
    </w:p>
    <w:p w14:paraId="7798F86B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</w:t>
      </w:r>
    </w:p>
    <w:p w14:paraId="427F1C21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             « Les disponibilités en cuivre sont tendues et les stocks reculent, » souligne Michael Widmer, analyste pour Bank of America. « Dans un scenario où l’offre en déchets augmenterait considérablement, le cours du cuivre pourrait se hisser à 13.000 $/t d’ici trois ans. Dans un scenario contraire, le cours pourrait se propulser à 20.000 $/t, une envolée bien plus significative que celle qui s’est déroulée ces derniers jours », poursuit l’analyste.</w:t>
      </w:r>
    </w:p>
    <w:p w14:paraId="2166F030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Bank of America prévoit un déficit d’offre de 186.000 tonnes cette année, lequel se creusera bien plus encore en 2022, à 369.000 tonnes. Il sera suivi par deux années d’excédent, à plus de 200.000 tonnes, pour à nouveau plonger dans le rouge en </w:t>
      </w:r>
      <w:proofErr w:type="gramStart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2025  -</w:t>
      </w:r>
      <w:proofErr w:type="gramEnd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avec une carence de plus de 600.000 tonnes - alors que la planète s'attachera à réduire ses émissions de carbone. La demande en cuivre de secteurs, tels que les véhicules électriques (VE), est attendue en très forte hausse.</w:t>
      </w:r>
    </w:p>
    <w:p w14:paraId="05191EE2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La banque </w:t>
      </w:r>
      <w:proofErr w:type="spellStart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Macquarie</w:t>
      </w:r>
      <w:proofErr w:type="spellEnd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a </w:t>
      </w:r>
      <w:proofErr w:type="gramStart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estimé  qu’un</w:t>
      </w:r>
      <w:proofErr w:type="gramEnd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véhicule équipé d’une batterie électrique (BVE) contenait 72,5 kg de cuivre, contre 22,5 kg dans une voiture à moteur à combustion. Les véhicules hybrides (HEV) et les véhicules hybrides rechargeables (PHEV) en contiendraient 37,5 kg.</w:t>
      </w:r>
    </w:p>
    <w:p w14:paraId="2FC2757B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La banque table sur une progression des ventes automobiles à 105 millions d’unités en 2025, les BVE, HEV et PHEV représentant près de 30% du total. « La demande en cuivre du secteur automobile va progresser de 2,3 millions de tonnes (Mt) en 2018 à 3,2 millions en 2025 et potentiellement à 4 Mt en 2030 », indique </w:t>
      </w:r>
      <w:proofErr w:type="spellStart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Macquarie</w:t>
      </w:r>
      <w:proofErr w:type="spellEnd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dans une note.</w:t>
      </w:r>
    </w:p>
    <w:p w14:paraId="5221BE0F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</w:t>
      </w:r>
    </w:p>
    <w:p w14:paraId="73851F23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La banque </w:t>
      </w:r>
      <w:proofErr w:type="spellStart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Macquarie</w:t>
      </w:r>
      <w:proofErr w:type="spellEnd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a </w:t>
      </w:r>
      <w:proofErr w:type="gramStart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estimé  qu’un</w:t>
      </w:r>
      <w:proofErr w:type="gramEnd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véhicule équipé d’une batterie électrique (BVE) contenait 72,5 kg de cuivre, contre 22,5 kg dans une voiture à moteur à combustion. Les véhicules hybrides (HEV) et les véhicules hybrides rechargeables (PHEV) en contiendraient 37,5 kg.</w:t>
      </w:r>
    </w:p>
    <w:p w14:paraId="55086BD0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La banque table sur une progression des ventes automobiles à 105 millions d’unités en 2025, les BVE, HEV et PHEV représentant près de 30% du total. « </w:t>
      </w:r>
      <w:r w:rsidRPr="00FC763A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 xml:space="preserve">La demande en cuivre du secteur automobile va progresser de 2,3 millions </w:t>
      </w:r>
      <w:r w:rsidRPr="00FC763A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lastRenderedPageBreak/>
        <w:t>de tonnes (Mt) en 2018 à 3,2 millions en 2025 et potentiellement à 4 Mt en 2030</w:t>
      </w: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 », indique </w:t>
      </w:r>
      <w:proofErr w:type="spellStart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Macquarie</w:t>
      </w:r>
      <w:proofErr w:type="spellEnd"/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dans une note.</w:t>
      </w:r>
    </w:p>
    <w:p w14:paraId="3F1CEC32" w14:textId="77777777" w:rsidR="00FC763A" w:rsidRPr="00FC763A" w:rsidRDefault="00FC763A" w:rsidP="00FC763A">
      <w:pPr>
        <w:shd w:val="clear" w:color="auto" w:fill="FFFFFF"/>
        <w:spacing w:before="75" w:after="7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763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</w:t>
      </w:r>
    </w:p>
    <w:p w14:paraId="6B0E3F84" w14:textId="77777777" w:rsidR="00B85874" w:rsidRDefault="00B85874"/>
    <w:sectPr w:rsidR="00B85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3A"/>
    <w:rsid w:val="00B85874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07FA"/>
  <w15:chartTrackingRefBased/>
  <w15:docId w15:val="{86A33945-51EC-4AAD-B5C3-96C2B4E0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4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975">
              <w:marLeft w:val="0"/>
              <w:marRight w:val="0"/>
              <w:marTop w:val="300"/>
              <w:marBottom w:val="0"/>
              <w:divBdr>
                <w:top w:val="single" w:sz="6" w:space="0" w:color="29395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36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2021-05-19T07:03:00Z</dcterms:created>
  <dcterms:modified xsi:type="dcterms:W3CDTF">2021-05-19T07:04:00Z</dcterms:modified>
</cp:coreProperties>
</file>